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апреле 2013 года прокуратурой Серебряно-Прудского муниципального района Московской области была проведена проверка соблюдения законодательства о противодействии экстремизму общественными, религиозными объединениями и иными некоммерческими организациями, в ходе которой в Муниципальном учреждении центр гражданского и патриотического воспитания детей и молодежи «Патриот» были выявлены нарушения при использовании символики.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Муниципальным учреждением центр гражданского и патриотического воспитания детей и молодежи «Патриот» было рассмотрено представление от 05.04.2013 года № 14-26 В-2013 об устранении нарушений требований законодательства по профилактике предупреждений экстремистских проявлений в некоммерческих организациях.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